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320B2C" w14:textId="77777777" w:rsidR="008F0FDE" w:rsidRDefault="008F0FDE" w:rsidP="008F0FDE">
      <w:pPr>
        <w:jc w:val="left"/>
        <w:rPr>
          <w:rFonts w:eastAsia="Times New Roman" w:cs="Arial"/>
          <w:b/>
          <w:bCs/>
          <w:iCs/>
          <w:noProof/>
          <w:sz w:val="28"/>
          <w:szCs w:val="28"/>
        </w:rPr>
      </w:pPr>
      <w:r w:rsidRPr="007D42F3">
        <w:rPr>
          <w:rFonts w:eastAsia="Times New Roman" w:cs="Arial"/>
          <w:b/>
          <w:bCs/>
          <w:iCs/>
          <w:noProof/>
          <w:sz w:val="28"/>
          <w:szCs w:val="28"/>
        </w:rPr>
        <w:t xml:space="preserve">Explanation of variances – pro forma </w:t>
      </w:r>
    </w:p>
    <w:p w14:paraId="54E3588C" w14:textId="77777777" w:rsidR="008F0FDE" w:rsidRPr="007D42F3" w:rsidRDefault="008F0FDE" w:rsidP="008F0FD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sz w:val="20"/>
          <w:szCs w:val="20"/>
        </w:rPr>
      </w:pPr>
      <w:r w:rsidRPr="007D42F3">
        <w:rPr>
          <w:rFonts w:eastAsia="Times New Roman" w:cs="Arial"/>
          <w:b/>
          <w:szCs w:val="20"/>
        </w:rPr>
        <w:fldChar w:fldCharType="begin"/>
      </w:r>
      <w:r w:rsidRPr="007D42F3">
        <w:rPr>
          <w:rFonts w:eastAsia="Times New Roman" w:cs="Arial"/>
          <w:b/>
          <w:szCs w:val="20"/>
        </w:rPr>
        <w:instrText xml:space="preserve"> MERGEFIELD SmallBodyName </w:instrText>
      </w:r>
      <w:r w:rsidRPr="007D42F3">
        <w:rPr>
          <w:rFonts w:eastAsia="Times New Roman" w:cs="Arial"/>
          <w:b/>
          <w:szCs w:val="20"/>
        </w:rPr>
        <w:fldChar w:fldCharType="separate"/>
      </w:r>
      <w:r>
        <w:rPr>
          <w:rFonts w:eastAsia="Times New Roman" w:cs="Arial"/>
          <w:b/>
          <w:noProof/>
          <w:szCs w:val="20"/>
        </w:rPr>
        <w:t>«SmallBodyName»</w:t>
      </w:r>
      <w:r w:rsidRPr="007D42F3">
        <w:rPr>
          <w:rFonts w:eastAsia="Times New Roman" w:cs="Arial"/>
          <w:b/>
          <w:szCs w:val="20"/>
        </w:rPr>
        <w:fldChar w:fldCharType="end"/>
      </w:r>
    </w:p>
    <w:p w14:paraId="30C8CA3B" w14:textId="77777777" w:rsidR="008F0FDE" w:rsidRDefault="008F0FDE" w:rsidP="008F0FD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noProof/>
          <w:sz w:val="20"/>
          <w:szCs w:val="20"/>
        </w:rPr>
      </w:pPr>
    </w:p>
    <w:p w14:paraId="2202FBF9" w14:textId="77777777" w:rsidR="008F0FDE" w:rsidRPr="007D42F3" w:rsidRDefault="008F0FDE" w:rsidP="008F0FDE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eastAsia="Times New Roman" w:cs="Arial"/>
          <w:noProof/>
          <w:sz w:val="20"/>
          <w:szCs w:val="20"/>
        </w:rPr>
      </w:pPr>
      <w:r w:rsidRPr="00AF023A">
        <w:rPr>
          <w:rFonts w:eastAsia="Times New Roman" w:cs="Arial"/>
          <w:b/>
          <w:noProof/>
          <w:sz w:val="20"/>
          <w:szCs w:val="20"/>
        </w:rPr>
        <w:t>Please provide full explanations, including numerical values</w:t>
      </w:r>
      <w:r>
        <w:rPr>
          <w:rFonts w:eastAsia="Times New Roman" w:cs="Arial"/>
          <w:noProof/>
          <w:sz w:val="20"/>
          <w:szCs w:val="20"/>
        </w:rPr>
        <w:t>,</w:t>
      </w:r>
      <w:r w:rsidRPr="007D42F3">
        <w:rPr>
          <w:rFonts w:eastAsia="Times New Roman" w:cs="Arial"/>
          <w:noProof/>
          <w:sz w:val="20"/>
          <w:szCs w:val="20"/>
        </w:rPr>
        <w:t xml:space="preserve"> for the following:</w:t>
      </w:r>
    </w:p>
    <w:p w14:paraId="67893E52" w14:textId="77777777" w:rsidR="008F0FDE" w:rsidRPr="007D42F3" w:rsidRDefault="008F0FDE" w:rsidP="008F0FDE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noProof/>
          <w:sz w:val="20"/>
          <w:szCs w:val="20"/>
        </w:rPr>
      </w:pPr>
      <w:r w:rsidRPr="007D42F3">
        <w:rPr>
          <w:rFonts w:eastAsia="Times New Roman" w:cs="Arial"/>
          <w:noProof/>
          <w:sz w:val="20"/>
          <w:szCs w:val="20"/>
        </w:rPr>
        <w:t xml:space="preserve">variances of more than 15% between totals for individual boxes (except variances of less than £200); </w:t>
      </w:r>
    </w:p>
    <w:p w14:paraId="1728B8D7" w14:textId="77777777" w:rsidR="008F0FDE" w:rsidRPr="007D42F3" w:rsidRDefault="008F0FDE" w:rsidP="008F0FDE">
      <w:pPr>
        <w:numPr>
          <w:ilvl w:val="0"/>
          <w:numId w:val="1"/>
        </w:numPr>
        <w:overflowPunct w:val="0"/>
        <w:autoSpaceDE w:val="0"/>
        <w:autoSpaceDN w:val="0"/>
        <w:adjustRightInd w:val="0"/>
        <w:spacing w:after="0" w:line="240" w:lineRule="auto"/>
        <w:jc w:val="left"/>
        <w:textAlignment w:val="baseline"/>
        <w:rPr>
          <w:rFonts w:eastAsia="Times New Roman" w:cs="Arial"/>
          <w:noProof/>
          <w:sz w:val="20"/>
          <w:szCs w:val="20"/>
        </w:rPr>
      </w:pPr>
      <w:r w:rsidRPr="007D42F3">
        <w:rPr>
          <w:rFonts w:eastAsia="Times New Roman" w:cs="Arial"/>
          <w:noProof/>
          <w:sz w:val="20"/>
          <w:szCs w:val="20"/>
        </w:rPr>
        <w:t>if the total reserves (Box 7) figure is more than twice the annual precept value (Box 2).</w:t>
      </w:r>
    </w:p>
    <w:p w14:paraId="1047DCE9" w14:textId="77777777" w:rsidR="008F0FDE" w:rsidRDefault="008F0FDE" w:rsidP="008F0FDE">
      <w:pPr>
        <w:jc w:val="left"/>
        <w:rPr>
          <w:rFonts w:eastAsia="Times New Roman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90"/>
        <w:gridCol w:w="1128"/>
        <w:gridCol w:w="1134"/>
        <w:gridCol w:w="1134"/>
        <w:gridCol w:w="1134"/>
        <w:gridCol w:w="3969"/>
      </w:tblGrid>
      <w:tr w:rsidR="008F0FDE" w:rsidRPr="007D42F3" w14:paraId="333B9B70" w14:textId="77777777" w:rsidTr="00FE512C">
        <w:trPr>
          <w:trHeight w:val="527"/>
        </w:trPr>
        <w:tc>
          <w:tcPr>
            <w:tcW w:w="1390" w:type="dxa"/>
          </w:tcPr>
          <w:p w14:paraId="2FF29117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>
              <w:rPr>
                <w:rFonts w:eastAsia="Times New Roman" w:cs="Arial"/>
                <w:b/>
                <w:noProof/>
                <w:szCs w:val="20"/>
              </w:rPr>
              <w:t>Section 2</w:t>
            </w:r>
          </w:p>
        </w:tc>
        <w:tc>
          <w:tcPr>
            <w:tcW w:w="1128" w:type="dxa"/>
          </w:tcPr>
          <w:p w14:paraId="15CEC5BE" w14:textId="65374582" w:rsidR="00D66E55" w:rsidRPr="007D42F3" w:rsidRDefault="00D66E55" w:rsidP="00D66E55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>
              <w:rPr>
                <w:rFonts w:eastAsia="Times New Roman" w:cs="Arial"/>
                <w:b/>
                <w:noProof/>
                <w:szCs w:val="20"/>
              </w:rPr>
              <w:t>20</w:t>
            </w:r>
            <w:r w:rsidR="002A488A">
              <w:rPr>
                <w:rFonts w:eastAsia="Times New Roman" w:cs="Arial"/>
                <w:b/>
                <w:noProof/>
                <w:szCs w:val="20"/>
              </w:rPr>
              <w:t>20/21</w:t>
            </w:r>
          </w:p>
          <w:p w14:paraId="42F15A0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Cs w:val="20"/>
              </w:rPr>
              <w:t>£</w:t>
            </w:r>
          </w:p>
        </w:tc>
        <w:tc>
          <w:tcPr>
            <w:tcW w:w="1134" w:type="dxa"/>
          </w:tcPr>
          <w:p w14:paraId="40184910" w14:textId="7CDA5F80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>
              <w:rPr>
                <w:rFonts w:eastAsia="Times New Roman" w:cs="Arial"/>
                <w:b/>
                <w:noProof/>
                <w:szCs w:val="20"/>
              </w:rPr>
              <w:t>20</w:t>
            </w:r>
            <w:r w:rsidR="00EA022D">
              <w:rPr>
                <w:rFonts w:eastAsia="Times New Roman" w:cs="Arial"/>
                <w:b/>
                <w:noProof/>
                <w:szCs w:val="20"/>
              </w:rPr>
              <w:t>2</w:t>
            </w:r>
            <w:r w:rsidR="002A488A">
              <w:rPr>
                <w:rFonts w:eastAsia="Times New Roman" w:cs="Arial"/>
                <w:b/>
                <w:noProof/>
                <w:szCs w:val="20"/>
              </w:rPr>
              <w:t>1/22</w:t>
            </w:r>
          </w:p>
          <w:p w14:paraId="7EB7C85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Cs w:val="20"/>
              </w:rPr>
              <w:t>£</w:t>
            </w:r>
          </w:p>
        </w:tc>
        <w:tc>
          <w:tcPr>
            <w:tcW w:w="1134" w:type="dxa"/>
          </w:tcPr>
          <w:p w14:paraId="6B8CE600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Cs w:val="20"/>
              </w:rPr>
              <w:t>Variance</w:t>
            </w:r>
          </w:p>
          <w:p w14:paraId="176083B7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Cs w:val="20"/>
              </w:rPr>
              <w:t>£</w:t>
            </w:r>
          </w:p>
        </w:tc>
        <w:tc>
          <w:tcPr>
            <w:tcW w:w="1134" w:type="dxa"/>
          </w:tcPr>
          <w:p w14:paraId="6CA9C4B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Cs w:val="20"/>
              </w:rPr>
              <w:t>Variance</w:t>
            </w:r>
          </w:p>
          <w:p w14:paraId="47ED8EE1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Cs w:val="20"/>
              </w:rPr>
              <w:t>%</w:t>
            </w:r>
          </w:p>
        </w:tc>
        <w:tc>
          <w:tcPr>
            <w:tcW w:w="3969" w:type="dxa"/>
          </w:tcPr>
          <w:p w14:paraId="7F8F3044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eastAsia="Times New Roman" w:cs="Arial"/>
                <w:b/>
                <w:noProof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Cs w:val="20"/>
              </w:rPr>
              <w:t>Detailed explanation of variance (with amounts £)</w:t>
            </w:r>
          </w:p>
        </w:tc>
      </w:tr>
      <w:tr w:rsidR="008F0FDE" w:rsidRPr="007D42F3" w14:paraId="3E840EBC" w14:textId="77777777" w:rsidTr="00FE512C">
        <w:trPr>
          <w:trHeight w:val="983"/>
        </w:trPr>
        <w:tc>
          <w:tcPr>
            <w:tcW w:w="1390" w:type="dxa"/>
          </w:tcPr>
          <w:p w14:paraId="10C6DF8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Box 2</w:t>
            </w:r>
          </w:p>
          <w:p w14:paraId="387AB8C1" w14:textId="77777777" w:rsidR="008F0FDE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  <w:r>
              <w:rPr>
                <w:rFonts w:eastAsia="Times New Roman" w:cs="Arial"/>
                <w:i/>
                <w:noProof/>
                <w:sz w:val="20"/>
                <w:szCs w:val="20"/>
              </w:rPr>
              <w:t>Local taxation and Levies</w:t>
            </w:r>
          </w:p>
          <w:p w14:paraId="570E951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</w:tc>
        <w:tc>
          <w:tcPr>
            <w:tcW w:w="1128" w:type="dxa"/>
          </w:tcPr>
          <w:p w14:paraId="657B3A9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4382E65B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0FCBF971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1F2D295D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3969" w:type="dxa"/>
          </w:tcPr>
          <w:p w14:paraId="229888F0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50CA22D9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75A7B97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</w:tr>
      <w:tr w:rsidR="008F0FDE" w:rsidRPr="007D42F3" w14:paraId="29084556" w14:textId="77777777" w:rsidTr="00FE512C">
        <w:trPr>
          <w:trHeight w:val="983"/>
        </w:trPr>
        <w:tc>
          <w:tcPr>
            <w:tcW w:w="1390" w:type="dxa"/>
          </w:tcPr>
          <w:p w14:paraId="6B3614CA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Box 3</w:t>
            </w:r>
          </w:p>
          <w:p w14:paraId="14C88910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  <w:r>
              <w:rPr>
                <w:rFonts w:eastAsia="Times New Roman" w:cs="Arial"/>
                <w:i/>
                <w:noProof/>
                <w:sz w:val="20"/>
                <w:szCs w:val="20"/>
              </w:rPr>
              <w:t>Total o</w:t>
            </w:r>
            <w:r w:rsidRPr="007D42F3">
              <w:rPr>
                <w:rFonts w:eastAsia="Times New Roman" w:cs="Arial"/>
                <w:i/>
                <w:noProof/>
                <w:sz w:val="20"/>
                <w:szCs w:val="20"/>
              </w:rPr>
              <w:t>ther receipts</w:t>
            </w:r>
          </w:p>
          <w:p w14:paraId="6C3EF211" w14:textId="77777777" w:rsidR="008F0FDE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  <w:p w14:paraId="45D96C6A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28" w:type="dxa"/>
          </w:tcPr>
          <w:p w14:paraId="4120EA43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26C7D85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5BC27C4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4F27B73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41ACB4FD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19A818F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3969" w:type="dxa"/>
          </w:tcPr>
          <w:p w14:paraId="60D37BE6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2C45062A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6F0A4A67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78D546C1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</w:tr>
      <w:tr w:rsidR="008F0FDE" w:rsidRPr="007D42F3" w14:paraId="6DF00A17" w14:textId="77777777" w:rsidTr="00FE512C">
        <w:trPr>
          <w:trHeight w:val="997"/>
        </w:trPr>
        <w:tc>
          <w:tcPr>
            <w:tcW w:w="1390" w:type="dxa"/>
          </w:tcPr>
          <w:p w14:paraId="3D58CB6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Box 4</w:t>
            </w:r>
          </w:p>
          <w:p w14:paraId="127F51F6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i/>
                <w:noProof/>
                <w:sz w:val="20"/>
                <w:szCs w:val="20"/>
              </w:rPr>
              <w:t xml:space="preserve">Staff costs </w:t>
            </w:r>
          </w:p>
          <w:p w14:paraId="3977F84D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  <w:p w14:paraId="4A7D62B6" w14:textId="77777777" w:rsidR="008F0FDE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  <w:p w14:paraId="4740B78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</w:tc>
        <w:tc>
          <w:tcPr>
            <w:tcW w:w="1128" w:type="dxa"/>
          </w:tcPr>
          <w:p w14:paraId="18CEC1D1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4EEE32B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231D3EE6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3402C6E9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6995ABD0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2DED3C3B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3969" w:type="dxa"/>
          </w:tcPr>
          <w:p w14:paraId="012C6BF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2036B5FA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</w:tr>
      <w:tr w:rsidR="008F0FDE" w:rsidRPr="007D42F3" w14:paraId="5D8DF507" w14:textId="77777777" w:rsidTr="00FE512C">
        <w:trPr>
          <w:trHeight w:val="1125"/>
        </w:trPr>
        <w:tc>
          <w:tcPr>
            <w:tcW w:w="1390" w:type="dxa"/>
          </w:tcPr>
          <w:p w14:paraId="2CC00AA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Box 5</w:t>
            </w:r>
          </w:p>
          <w:p w14:paraId="5E64A4DE" w14:textId="77777777" w:rsidR="008F0FDE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i/>
                <w:noProof/>
                <w:sz w:val="20"/>
                <w:szCs w:val="20"/>
              </w:rPr>
              <w:t>Loan interest/ capital repayments</w:t>
            </w:r>
          </w:p>
          <w:p w14:paraId="5615C571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</w:tc>
        <w:tc>
          <w:tcPr>
            <w:tcW w:w="1128" w:type="dxa"/>
          </w:tcPr>
          <w:p w14:paraId="1C44765D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097DA05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337DA35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75F02A1A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198C1E0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2F69ED9B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3969" w:type="dxa"/>
          </w:tcPr>
          <w:p w14:paraId="0DCD2A14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12D401C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6A551831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</w:tr>
      <w:tr w:rsidR="008F0FDE" w:rsidRPr="007D42F3" w14:paraId="466FC908" w14:textId="77777777" w:rsidTr="00FE512C">
        <w:trPr>
          <w:trHeight w:val="943"/>
        </w:trPr>
        <w:tc>
          <w:tcPr>
            <w:tcW w:w="1390" w:type="dxa"/>
            <w:tcBorders>
              <w:bottom w:val="single" w:sz="4" w:space="0" w:color="auto"/>
            </w:tcBorders>
          </w:tcPr>
          <w:p w14:paraId="29FDF69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Box 6</w:t>
            </w:r>
          </w:p>
          <w:p w14:paraId="0EE9F206" w14:textId="77777777" w:rsidR="008F0FDE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  <w:r>
              <w:rPr>
                <w:rFonts w:eastAsia="Times New Roman" w:cs="Arial"/>
                <w:i/>
                <w:noProof/>
                <w:sz w:val="20"/>
                <w:szCs w:val="20"/>
              </w:rPr>
              <w:t>All o</w:t>
            </w:r>
            <w:r w:rsidRPr="007D42F3">
              <w:rPr>
                <w:rFonts w:eastAsia="Times New Roman" w:cs="Arial"/>
                <w:i/>
                <w:noProof/>
                <w:sz w:val="20"/>
                <w:szCs w:val="20"/>
              </w:rPr>
              <w:t>ther payments</w:t>
            </w:r>
          </w:p>
          <w:p w14:paraId="3FF68AA0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  <w:p w14:paraId="7030E9A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  <w:p w14:paraId="1F816B9D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</w:tc>
        <w:tc>
          <w:tcPr>
            <w:tcW w:w="1128" w:type="dxa"/>
            <w:tcBorders>
              <w:bottom w:val="single" w:sz="4" w:space="0" w:color="auto"/>
            </w:tcBorders>
          </w:tcPr>
          <w:p w14:paraId="430A30E3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79025FE9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6B26599D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48D27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39C032B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14:paraId="1D669BDB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3969" w:type="dxa"/>
            <w:tcBorders>
              <w:bottom w:val="single" w:sz="4" w:space="0" w:color="auto"/>
            </w:tcBorders>
          </w:tcPr>
          <w:p w14:paraId="0475E054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392B99B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58B5830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</w:tr>
      <w:tr w:rsidR="008F0FDE" w:rsidRPr="007D42F3" w14:paraId="3EFB2C00" w14:textId="77777777" w:rsidTr="00FE512C">
        <w:trPr>
          <w:trHeight w:val="987"/>
        </w:trPr>
        <w:tc>
          <w:tcPr>
            <w:tcW w:w="1390" w:type="dxa"/>
          </w:tcPr>
          <w:p w14:paraId="4980018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Box 9</w:t>
            </w:r>
          </w:p>
          <w:p w14:paraId="4EC8B9F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  <w:r>
              <w:rPr>
                <w:rFonts w:eastAsia="Times New Roman" w:cs="Arial"/>
                <w:i/>
                <w:noProof/>
                <w:sz w:val="20"/>
                <w:szCs w:val="20"/>
              </w:rPr>
              <w:t>Total f</w:t>
            </w:r>
            <w:r w:rsidRPr="007D42F3">
              <w:rPr>
                <w:rFonts w:eastAsia="Times New Roman" w:cs="Arial"/>
                <w:i/>
                <w:noProof/>
                <w:sz w:val="20"/>
                <w:szCs w:val="20"/>
              </w:rPr>
              <w:t xml:space="preserve">ixed assets &amp; long term </w:t>
            </w:r>
            <w:r>
              <w:rPr>
                <w:rFonts w:eastAsia="Times New Roman" w:cs="Arial"/>
                <w:i/>
                <w:noProof/>
                <w:sz w:val="20"/>
                <w:szCs w:val="20"/>
              </w:rPr>
              <w:t xml:space="preserve">investments &amp; </w:t>
            </w:r>
            <w:r w:rsidRPr="007D42F3">
              <w:rPr>
                <w:rFonts w:eastAsia="Times New Roman" w:cs="Arial"/>
                <w:i/>
                <w:noProof/>
                <w:sz w:val="20"/>
                <w:szCs w:val="20"/>
              </w:rPr>
              <w:t>assets</w:t>
            </w:r>
          </w:p>
        </w:tc>
        <w:tc>
          <w:tcPr>
            <w:tcW w:w="1128" w:type="dxa"/>
          </w:tcPr>
          <w:p w14:paraId="05942676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1F942089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10B0ECE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6E7E3309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7A78D28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0831ABC3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3969" w:type="dxa"/>
          </w:tcPr>
          <w:p w14:paraId="7497112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627A2A0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03AA7FF2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</w:tr>
      <w:tr w:rsidR="008F0FDE" w:rsidRPr="007D42F3" w14:paraId="37B5A5DF" w14:textId="77777777" w:rsidTr="00FE512C">
        <w:trPr>
          <w:trHeight w:val="973"/>
        </w:trPr>
        <w:tc>
          <w:tcPr>
            <w:tcW w:w="1390" w:type="dxa"/>
          </w:tcPr>
          <w:p w14:paraId="44D3C19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Box 10</w:t>
            </w:r>
          </w:p>
          <w:p w14:paraId="0AB74DB3" w14:textId="77777777" w:rsidR="008F0FDE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  <w:r>
              <w:rPr>
                <w:rFonts w:eastAsia="Times New Roman" w:cs="Arial"/>
                <w:i/>
                <w:noProof/>
                <w:sz w:val="20"/>
                <w:szCs w:val="20"/>
              </w:rPr>
              <w:t>Total b</w:t>
            </w:r>
            <w:r w:rsidRPr="007D42F3">
              <w:rPr>
                <w:rFonts w:eastAsia="Times New Roman" w:cs="Arial"/>
                <w:i/>
                <w:noProof/>
                <w:sz w:val="20"/>
                <w:szCs w:val="20"/>
              </w:rPr>
              <w:t>orrowings</w:t>
            </w:r>
          </w:p>
          <w:p w14:paraId="352C7F34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  <w:p w14:paraId="0718CA0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  <w:p w14:paraId="5D0C3E9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i/>
                <w:noProof/>
                <w:sz w:val="20"/>
                <w:szCs w:val="20"/>
              </w:rPr>
            </w:pPr>
          </w:p>
        </w:tc>
        <w:tc>
          <w:tcPr>
            <w:tcW w:w="1128" w:type="dxa"/>
          </w:tcPr>
          <w:p w14:paraId="39CA404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1F11F08A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0E45AFC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1134" w:type="dxa"/>
          </w:tcPr>
          <w:p w14:paraId="22764B3A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  <w:tc>
          <w:tcPr>
            <w:tcW w:w="3969" w:type="dxa"/>
          </w:tcPr>
          <w:p w14:paraId="2F30BE4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7C01355C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  <w:p w14:paraId="5568FCC3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</w:p>
        </w:tc>
      </w:tr>
      <w:tr w:rsidR="008F0FDE" w:rsidRPr="007D42F3" w14:paraId="6DADD5EF" w14:textId="77777777" w:rsidTr="00FE512C">
        <w:trPr>
          <w:trHeight w:val="973"/>
        </w:trPr>
        <w:tc>
          <w:tcPr>
            <w:tcW w:w="1390" w:type="dxa"/>
          </w:tcPr>
          <w:p w14:paraId="4EA93E78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b/>
                <w:noProof/>
                <w:sz w:val="20"/>
                <w:szCs w:val="20"/>
              </w:rPr>
              <w:t>Explanation for ‘high’ reserves</w:t>
            </w:r>
          </w:p>
          <w:p w14:paraId="4DCE4EFF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</w:p>
          <w:p w14:paraId="7EB95876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</w:p>
          <w:p w14:paraId="2783A02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left"/>
              <w:textAlignment w:val="baseline"/>
              <w:rPr>
                <w:rFonts w:eastAsia="Times New Roman" w:cs="Arial"/>
                <w:b/>
                <w:noProof/>
                <w:sz w:val="20"/>
                <w:szCs w:val="20"/>
              </w:rPr>
            </w:pPr>
          </w:p>
        </w:tc>
        <w:tc>
          <w:tcPr>
            <w:tcW w:w="8499" w:type="dxa"/>
            <w:gridSpan w:val="5"/>
          </w:tcPr>
          <w:p w14:paraId="7FA4BB2E" w14:textId="77777777" w:rsidR="008F0FDE" w:rsidRPr="007D42F3" w:rsidRDefault="008F0FDE" w:rsidP="00FE512C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eastAsia="Times New Roman" w:cs="Arial"/>
                <w:noProof/>
                <w:sz w:val="20"/>
                <w:szCs w:val="20"/>
              </w:rPr>
            </w:pPr>
            <w:r w:rsidRPr="007D42F3">
              <w:rPr>
                <w:rFonts w:eastAsia="Times New Roman" w:cs="Arial"/>
                <w:noProof/>
                <w:sz w:val="20"/>
                <w:szCs w:val="20"/>
              </w:rPr>
              <w:t>Box 7 is more than twice Box</w:t>
            </w:r>
            <w:r>
              <w:rPr>
                <w:rFonts w:eastAsia="Times New Roman" w:cs="Arial"/>
                <w:noProof/>
                <w:sz w:val="20"/>
                <w:szCs w:val="20"/>
              </w:rPr>
              <w:t>es</w:t>
            </w:r>
            <w:r w:rsidRPr="007D42F3">
              <w:rPr>
                <w:rFonts w:eastAsia="Times New Roman" w:cs="Arial"/>
                <w:noProof/>
                <w:sz w:val="20"/>
                <w:szCs w:val="20"/>
              </w:rPr>
              <w:t xml:space="preserve"> 2</w:t>
            </w:r>
            <w:r>
              <w:rPr>
                <w:rFonts w:eastAsia="Times New Roman" w:cs="Arial"/>
                <w:noProof/>
                <w:sz w:val="20"/>
                <w:szCs w:val="20"/>
              </w:rPr>
              <w:t xml:space="preserve"> and 3</w:t>
            </w:r>
            <w:r w:rsidRPr="007D42F3">
              <w:rPr>
                <w:rFonts w:eastAsia="Times New Roman" w:cs="Arial"/>
                <w:noProof/>
                <w:sz w:val="20"/>
                <w:szCs w:val="20"/>
              </w:rPr>
              <w:t xml:space="preserve"> because ....</w:t>
            </w:r>
          </w:p>
        </w:tc>
      </w:tr>
    </w:tbl>
    <w:p w14:paraId="40F52657" w14:textId="77777777" w:rsidR="00602788" w:rsidRDefault="00602788"/>
    <w:sectPr w:rsidR="0060278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926DB2"/>
    <w:multiLevelType w:val="hybridMultilevel"/>
    <w:tmpl w:val="3E7440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391754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0FDE"/>
    <w:rsid w:val="002A488A"/>
    <w:rsid w:val="005969F5"/>
    <w:rsid w:val="00602788"/>
    <w:rsid w:val="006E462D"/>
    <w:rsid w:val="008513A7"/>
    <w:rsid w:val="008F0FDE"/>
    <w:rsid w:val="00B7492B"/>
    <w:rsid w:val="00D66E55"/>
    <w:rsid w:val="00EA022D"/>
    <w:rsid w:val="00F5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9B584D"/>
  <w15:chartTrackingRefBased/>
  <w15:docId w15:val="{BC014A74-6BA7-47FA-86F6-66E7EFBD17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0FDE"/>
    <w:pPr>
      <w:spacing w:after="200" w:line="276" w:lineRule="auto"/>
      <w:jc w:val="both"/>
    </w:pPr>
    <w:rPr>
      <w:rFonts w:ascii="Arial" w:hAnsi="Arial"/>
      <w:sz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727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Twiner</dc:creator>
  <cp:keywords/>
  <dc:description/>
  <cp:lastModifiedBy>colkirkpc@gmail.com</cp:lastModifiedBy>
  <cp:revision>2</cp:revision>
  <dcterms:created xsi:type="dcterms:W3CDTF">2023-04-22T09:27:00Z</dcterms:created>
  <dcterms:modified xsi:type="dcterms:W3CDTF">2023-04-22T09:27:00Z</dcterms:modified>
</cp:coreProperties>
</file>